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附件1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*  *</w:t>
      </w:r>
      <w:r>
        <w:rPr>
          <w:rFonts w:hint="eastAsia" w:ascii="方正小标宋简体" w:eastAsia="方正小标宋简体"/>
          <w:sz w:val="44"/>
          <w:szCs w:val="44"/>
        </w:rPr>
        <w:t>区文化和旅游局关于2021年度旅行社企业奖励情况的审核报告</w:t>
      </w:r>
    </w:p>
    <w:p>
      <w:pPr>
        <w:snapToGrid w:val="0"/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（参考模板）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市文化和旅游局：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一、总体申报情况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按不同的奖励项目分别表述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二、审核工作具体实施情况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三、审核结果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按不同的奖励项目分别表述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四、特殊情况说明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ascii="仿宋_GB2312" w:eastAsia="仿宋_GB2312"/>
          <w:sz w:val="32"/>
          <w:szCs w:val="32"/>
        </w:rPr>
        <w:t>若聘请了第三方审核的，还需提供第三方的专项审计报告。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落款（盖章）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年 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A6EC3"/>
    <w:rsid w:val="195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2022-05-25T02:20:00Z</dcterms:created>
  <dc:creator>A0w.L.</dc:creator>
  <cp:lastModifiedBy>A0w.L.</cp:lastModifiedBy>
  <dcterms:modified xsi:type="dcterms:W3CDTF">2022-05-25T02:21:02Z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