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default" w:ascii="仿宋" w:hAnsi="仿宋" w:eastAsia="仿宋" w:cs="仿宋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13131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131313"/>
          <w:spacing w:val="0"/>
          <w:sz w:val="44"/>
          <w:szCs w:val="44"/>
          <w:shd w:val="clear" w:fill="FFFFFF"/>
          <w:lang w:val="en-US" w:eastAsia="zh-CN"/>
        </w:rPr>
        <w:t>武汉市艺术创作研究中心面试形式及内容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一、面试形式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面试采取作品分析和现场主题创作方式进行。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二、面试内容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u w:val="none"/>
          <w:lang w:val="en-US" w:eastAsia="zh-CN"/>
        </w:rPr>
        <w:t>（一）作品分析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（时间7分钟，分值40分）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自备本人独创或作为第一作者独撰的戏剧、著作作品，进行作品分析和论述。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highlight w:val="none"/>
          <w:lang w:val="en-US" w:eastAsia="zh-CN"/>
        </w:rPr>
        <w:t>备注：相关分析论述的作品及要求，考生需与招聘单位联系提前准备。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eastAsia" w:ascii="CESI楷体-GB2312" w:hAnsi="CESI楷体-GB2312" w:eastAsia="CESI楷体-GB2312" w:cs="CESI楷体-GB2312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u w:val="none"/>
          <w:lang w:val="en-US" w:eastAsia="zh-CN"/>
        </w:rPr>
        <w:t>（二）现场主题创作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8分钟，分值60分）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  <w:lang w:val="en-US" w:eastAsia="zh-CN"/>
        </w:rPr>
        <w:t>考生以抽签形式选择主题，现场编写一段不少于20行的唱词，要求主题明确、表达清晰、逻辑严谨，并对创作唱词进行分析，论述创作思路。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  <w:lang w:val="en-US" w:eastAsia="zh-CN"/>
        </w:rPr>
        <w:t>备注：考生签到后抽签，现场封闭30分钟进行主题创作后再进行面试。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NiYWM0OGJmNjQxZGE5ZmZkNmFiMTViMTg3ZDYifQ=="/>
  </w:docVars>
  <w:rsids>
    <w:rsidRoot w:val="00000000"/>
    <w:rsid w:val="4310496F"/>
    <w:rsid w:val="5FA345CA"/>
    <w:rsid w:val="6F720637"/>
    <w:rsid w:val="7F46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2023-11-30T06:05:00Z</dcterms:created>
  <dc:creator>DELL</dc:creator>
  <cp:lastModifiedBy>hanabi</cp:lastModifiedBy>
  <dcterms:modified xsi:type="dcterms:W3CDTF">2023-12-01T09:08:01Z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9B67001DE6A74AA994C3F10181AC8FEC_12</vt:lpwstr>
  </property>
</Properties>
</file>